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c>
          <w:tcPr>
            <w:tcW w:type="dxa" w:w="10080"/>
            <w:shd w:fill="090A0B" w:color="090A0B" w:val="clear"/>
            <w:tcMar>
              <w:top w:type="dxa" w:w="600"/>
              <w:left w:type="dxa" w:w="560"/>
              <w:bottom w:type="dxa" w:w="600"/>
              <w:right w:type="dxa" w:w="560"/>
            </w:tcMar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52"/>
                <w:szCs w:val="52"/>
              </w:rPr>
              <w:t xml:space="preserve">Atr1</w:t>
            </w:r>
          </w:p>
          <w:p>
            <w:pPr>
              <w:spacing w:after="120" w:before="0"/>
            </w:pPr>
            <w:r>
              <w:rPr>
                <w:rFonts w:ascii="Arial" w:cs="Arial" w:eastAsia="Arial" w:hAnsi="Arial"/>
                <w:b/>
                <w:bCs/>
                <w:color w:val="E51D61"/>
                <w:sz w:val="32"/>
                <w:szCs w:val="32"/>
              </w:rPr>
              <w:t xml:space="preserve">Política de Privacidade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AAAAAA"/>
                <w:sz w:val="20"/>
                <w:szCs w:val="20"/>
              </w:rPr>
              <w:t xml:space="preserve">Plataforma SaaS B2B — Versão 1.0</w:t>
            </w:r>
          </w:p>
        </w:tc>
      </w:tr>
    </w:tbl>
    <w:p>
      <w:pPr>
        <w:spacing w:after="0" w:before="400"/>
      </w:pPr>
    </w:p>
    <w:p>
      <w:pPr>
        <w:spacing w:after="40" w:before="80"/>
      </w:pPr>
      <w:r>
        <w:rPr>
          <w:rFonts w:ascii="Arial" w:cs="Arial" w:eastAsia="Arial" w:hAnsi="Arial"/>
          <w:color w:val="64748B"/>
          <w:sz w:val="20"/>
          <w:szCs w:val="20"/>
        </w:rPr>
        <w:t xml:space="preserve">Pragma Serviços e Participações Ltda</w:t>
      </w:r>
    </w:p>
    <w:p>
      <w:pPr>
        <w:spacing w:after="40" w:before="0"/>
      </w:pPr>
      <w:r>
        <w:rPr>
          <w:rFonts w:ascii="Arial" w:cs="Arial" w:eastAsia="Arial" w:hAnsi="Arial"/>
          <w:color w:val="64748B"/>
          <w:sz w:val="20"/>
          <w:szCs w:val="20"/>
        </w:rPr>
        <w:t xml:space="preserve">CNPJ 38.729.056/0001-54</w:t>
      </w:r>
    </w:p>
    <w:p>
      <w:pPr>
        <w:spacing w:after="40" w:before="0"/>
      </w:pPr>
      <w:r>
        <w:rPr>
          <w:rFonts w:ascii="Arial" w:cs="Arial" w:eastAsia="Arial" w:hAnsi="Arial"/>
          <w:color w:val="64748B"/>
          <w:sz w:val="20"/>
          <w:szCs w:val="20"/>
        </w:rPr>
        <w:t xml:space="preserve">Rua Paulo de Faria, 146, Sala 906 B, Vila Gustavo, São Paulo/SP</w:t>
      </w:r>
    </w:p>
    <w:p>
      <w:pPr>
        <w:spacing w:after="40" w:before="0"/>
      </w:pPr>
      <w:r>
        <w:rPr>
          <w:rFonts w:ascii="Arial" w:cs="Arial" w:eastAsia="Arial" w:hAnsi="Arial"/>
          <w:color w:val="64748B"/>
          <w:sz w:val="20"/>
          <w:szCs w:val="20"/>
        </w:rPr>
        <w:t xml:space="preserve">Versão 1.0 — 31/07/2026</w:t>
      </w:r>
    </w:p>
    <w:p>
      <w:pPr>
        <w:spacing w:after="80" w:before="80"/>
      </w:pPr>
      <w:r>
        <w:rPr>
          <w:rFonts w:ascii="Arial" w:cs="Arial" w:eastAsia="Arial" w:hAnsi="Arial"/>
          <w:i/>
          <w:iCs/>
          <w:color w:val="64748B"/>
          <w:sz w:val="18"/>
          <w:szCs w:val="18"/>
        </w:rPr>
        <w:t xml:space="preserve">Este documento tem caráter estratégico e informativo. Recomenda-se revisão por advogado especializado antes da publicação oficial.</w:t>
      </w:r>
    </w:p>
    <w:p>
      <w:pPr>
        <w:spacing w:after="0" w:before="0"/>
      </w:pPr>
      <w:r>
        <w:br w:type="page"/>
      </w:r>
    </w:p>
    <w:p>
      <w:pPr>
        <w:pStyle w:val="Heading1"/>
        <w:spacing w:after="160" w:before="400"/>
        <w:rPr>
          <w:rFonts w:ascii="Arial" w:cs="Arial" w:eastAsia="Arial" w:hAnsi="Arial"/>
          <w:b/>
          <w:bCs/>
          <w:color w:val="090A0B"/>
          <w:sz w:val="28"/>
          <w:szCs w:val="28"/>
        </w:rPr>
      </w:pPr>
      <w:r>
        <w:t xml:space="preserve">Política de Privacidade da Plataforma Atr1</w:t>
      </w:r>
    </w:p>
    <w:p>
      <w:pPr>
        <w:spacing w:after="80" w:before="80"/>
        <w:jc w:val="both"/>
      </w:pPr>
      <w:r>
        <w:rPr>
          <w:rFonts w:ascii="Arial" w:cs="Arial" w:eastAsia="Arial" w:hAnsi="Arial"/>
          <w:color w:val="090A0B"/>
          <w:sz w:val="20"/>
          <w:szCs w:val="20"/>
        </w:rPr>
        <w:t xml:space="preserve">Esta Política de Privacidade ("Política") descreve como a Pragma Serviços e Participações Ltda, CNPJ 38.729.056/0001-54 ("Pragma" ou "nós") trata os dados pessoais no âmbito da Plataforma Atr1, em conformidade com a Lei Geral de Proteção de Dados (LGPD — Lei 13.709/2018).</w:t>
      </w:r>
    </w:p>
    <w:p>
      <w:pPr>
        <w:spacing w:after="80" w:before="80"/>
        <w:jc w:val="both"/>
      </w:pPr>
      <w:r>
        <w:rPr>
          <w:rFonts w:ascii="Arial" w:cs="Arial" w:eastAsia="Arial" w:hAnsi="Arial"/>
          <w:color w:val="090A0B"/>
          <w:sz w:val="20"/>
          <w:szCs w:val="20"/>
        </w:rPr>
        <w:t xml:space="preserve">A Pragma atua primariamente como Operadora de dados em relação aos Dados de Terceiros processados por instrução do Cliente (Controlador). Em relação aos dados dos Usuários Autorizados e dados operacionais da Plataforma, a Pragma atua como Controladora.</w:t>
      </w:r>
    </w:p>
    <w:p>
      <w:pPr>
        <w:pBdr>
          <w:bottom w:val="single" w:color="E2E8F0" w:sz="4" w:space="4"/>
        </w:pBdr>
        <w:spacing w:after="200" w:before="200"/>
      </w:pPr>
    </w:p>
    <w:p>
      <w:pPr>
        <w:pBdr>
          <w:bottom w:val="single" w:color="C70F48" w:sz="6" w:space="4"/>
        </w:pBdr>
        <w:spacing w:after="120" w:before="360"/>
      </w:pPr>
      <w:r>
        <w:rPr>
          <w:rFonts w:ascii="Arial" w:cs="Arial" w:eastAsia="Arial" w:hAnsi="Arial"/>
          <w:b/>
          <w:bCs/>
          <w:color w:val="C70F48"/>
          <w:sz w:val="24"/>
          <w:szCs w:val="24"/>
        </w:rPr>
        <w:t xml:space="preserve">1. Definições LGPD</w:t>
      </w:r>
    </w:p>
    <w:p>
      <w:pPr>
        <w:pStyle w:val="ListParagraph"/>
        <w:numPr>
          <w:ilvl w:val="0"/>
          <w:numId w:val="1"/>
        </w:numPr>
        <w:spacing w:after="60" w:before="60"/>
        <w:jc w:val="both"/>
      </w:pPr>
      <w:r>
        <w:rPr>
          <w:rFonts w:ascii="Arial" w:cs="Arial" w:eastAsia="Arial" w:hAnsi="Arial"/>
          <w:color w:val="090A0B"/>
          <w:sz w:val="20"/>
          <w:szCs w:val="20"/>
        </w:rPr>
        <w:t xml:space="preserve">"Dado Pessoal": informação relacionada a pessoa natural identificada ou identificável.</w:t>
      </w:r>
    </w:p>
    <w:p>
      <w:pPr>
        <w:pStyle w:val="ListParagraph"/>
        <w:numPr>
          <w:ilvl w:val="0"/>
          <w:numId w:val="1"/>
        </w:numPr>
        <w:spacing w:after="60" w:before="60"/>
        <w:jc w:val="both"/>
      </w:pPr>
      <w:r>
        <w:rPr>
          <w:rFonts w:ascii="Arial" w:cs="Arial" w:eastAsia="Arial" w:hAnsi="Arial"/>
          <w:color w:val="090A0B"/>
          <w:sz w:val="20"/>
          <w:szCs w:val="20"/>
        </w:rPr>
        <w:t xml:space="preserve">"Controlador": pessoa jurídica que decide sobre o tratamento de dados pessoais — neste contexto, o Cliente.</w:t>
      </w:r>
    </w:p>
    <w:p>
      <w:pPr>
        <w:pStyle w:val="ListParagraph"/>
        <w:numPr>
          <w:ilvl w:val="0"/>
          <w:numId w:val="1"/>
        </w:numPr>
        <w:spacing w:after="60" w:before="60"/>
        <w:jc w:val="both"/>
      </w:pPr>
      <w:r>
        <w:rPr>
          <w:rFonts w:ascii="Arial" w:cs="Arial" w:eastAsia="Arial" w:hAnsi="Arial"/>
          <w:color w:val="090A0B"/>
          <w:sz w:val="20"/>
          <w:szCs w:val="20"/>
        </w:rPr>
        <w:t xml:space="preserve">"Operador": pessoa jurídica que realiza o tratamento de dados pessoais em nome do Controlador — neste contexto, a Pragma.</w:t>
      </w:r>
    </w:p>
    <w:p>
      <w:pPr>
        <w:pStyle w:val="ListParagraph"/>
        <w:numPr>
          <w:ilvl w:val="0"/>
          <w:numId w:val="1"/>
        </w:numPr>
        <w:spacing w:after="60" w:before="60"/>
        <w:jc w:val="both"/>
      </w:pPr>
      <w:r>
        <w:rPr>
          <w:rFonts w:ascii="Arial" w:cs="Arial" w:eastAsia="Arial" w:hAnsi="Arial"/>
          <w:color w:val="090A0B"/>
          <w:sz w:val="20"/>
          <w:szCs w:val="20"/>
        </w:rPr>
        <w:t xml:space="preserve">"Titular": pessoa natural a quem os dados pertencem (leads, clientes finais, seguidores do Cliente).</w:t>
      </w:r>
    </w:p>
    <w:p>
      <w:pPr>
        <w:pStyle w:val="ListParagraph"/>
        <w:numPr>
          <w:ilvl w:val="0"/>
          <w:numId w:val="1"/>
        </w:numPr>
        <w:spacing w:after="60" w:before="60"/>
        <w:jc w:val="both"/>
      </w:pPr>
      <w:r>
        <w:rPr>
          <w:rFonts w:ascii="Arial" w:cs="Arial" w:eastAsia="Arial" w:hAnsi="Arial"/>
          <w:color w:val="090A0B"/>
          <w:sz w:val="20"/>
          <w:szCs w:val="20"/>
        </w:rPr>
        <w:t xml:space="preserve">"Tratamento": toda operação sobre dados pessoais (coleta, armazenamento, uso, transmissão, exclusão etc.).</w:t>
      </w:r>
    </w:p>
    <w:p>
      <w:pPr>
        <w:pStyle w:val="ListParagraph"/>
        <w:numPr>
          <w:ilvl w:val="0"/>
          <w:numId w:val="1"/>
        </w:numPr>
        <w:spacing w:after="60" w:before="60"/>
        <w:jc w:val="both"/>
      </w:pPr>
      <w:r>
        <w:rPr>
          <w:rFonts w:ascii="Arial" w:cs="Arial" w:eastAsia="Arial" w:hAnsi="Arial"/>
          <w:color w:val="090A0B"/>
          <w:sz w:val="20"/>
          <w:szCs w:val="20"/>
        </w:rPr>
        <w:t xml:space="preserve">"ANPD": Autoridade Nacional de Proteção de Dados.</w:t>
      </w:r>
    </w:p>
    <w:p>
      <w:pPr>
        <w:pBdr>
          <w:bottom w:val="single" w:color="E2E8F0" w:sz="4" w:space="4"/>
        </w:pBdr>
        <w:spacing w:after="200" w:before="200"/>
      </w:pPr>
    </w:p>
    <w:p>
      <w:pPr>
        <w:pBdr>
          <w:bottom w:val="single" w:color="C70F48" w:sz="6" w:space="4"/>
        </w:pBdr>
        <w:spacing w:after="120" w:before="360"/>
      </w:pPr>
      <w:r>
        <w:rPr>
          <w:rFonts w:ascii="Arial" w:cs="Arial" w:eastAsia="Arial" w:hAnsi="Arial"/>
          <w:b/>
          <w:bCs/>
          <w:color w:val="C70F48"/>
          <w:sz w:val="24"/>
          <w:szCs w:val="24"/>
        </w:rPr>
        <w:t xml:space="preserve">2. Dados Tratados pela Plataforma</w:t>
      </w:r>
    </w:p>
    <w:p>
      <w:pPr>
        <w:spacing w:after="80" w:before="280"/>
      </w:pPr>
      <w:r>
        <w:rPr>
          <w:rFonts w:ascii="Arial" w:cs="Arial" w:eastAsia="Arial" w:hAnsi="Arial"/>
          <w:b/>
          <w:bCs/>
          <w:color w:val="090A0B"/>
          <w:sz w:val="22"/>
          <w:szCs w:val="22"/>
        </w:rPr>
        <w:t xml:space="preserve">2.1 Dados dos Usuários Autorizados (Pragma como Controladora)</w:t>
      </w:r>
    </w:p>
    <w:p>
      <w:pPr>
        <w:spacing w:after="80" w:before="80"/>
        <w:jc w:val="both"/>
      </w:pPr>
      <w:r>
        <w:rPr>
          <w:rFonts w:ascii="Arial" w:cs="Arial" w:eastAsia="Arial" w:hAnsi="Arial"/>
          <w:color w:val="090A0B"/>
          <w:sz w:val="20"/>
          <w:szCs w:val="20"/>
        </w:rPr>
        <w:t xml:space="preserve">Para viabilizar o acesso à Plataforma, a Pragma coleta e trata os seguintes dados dos Usuários Autorizados indicados pelo Cliente:</w:t>
      </w:r>
    </w:p>
    <w:p>
      <w:pPr>
        <w:pStyle w:val="ListParagraph"/>
        <w:numPr>
          <w:ilvl w:val="0"/>
          <w:numId w:val="1"/>
        </w:numPr>
        <w:spacing w:after="60" w:before="60"/>
        <w:jc w:val="both"/>
      </w:pPr>
      <w:r>
        <w:rPr>
          <w:rFonts w:ascii="Arial" w:cs="Arial" w:eastAsia="Arial" w:hAnsi="Arial"/>
          <w:color w:val="090A0B"/>
          <w:sz w:val="20"/>
          <w:szCs w:val="20"/>
        </w:rPr>
        <w:t xml:space="preserve">Nome completo;</w:t>
      </w:r>
    </w:p>
    <w:p>
      <w:pPr>
        <w:pStyle w:val="ListParagraph"/>
        <w:numPr>
          <w:ilvl w:val="0"/>
          <w:numId w:val="1"/>
        </w:numPr>
        <w:spacing w:after="60" w:before="60"/>
        <w:jc w:val="both"/>
      </w:pPr>
      <w:r>
        <w:rPr>
          <w:rFonts w:ascii="Arial" w:cs="Arial" w:eastAsia="Arial" w:hAnsi="Arial"/>
          <w:color w:val="090A0B"/>
          <w:sz w:val="20"/>
          <w:szCs w:val="20"/>
        </w:rPr>
        <w:t xml:space="preserve">Endereço de e-mail corporativo;</w:t>
      </w:r>
    </w:p>
    <w:p>
      <w:pPr>
        <w:pStyle w:val="ListParagraph"/>
        <w:numPr>
          <w:ilvl w:val="0"/>
          <w:numId w:val="1"/>
        </w:numPr>
        <w:spacing w:after="60" w:before="60"/>
        <w:jc w:val="both"/>
      </w:pPr>
      <w:r>
        <w:rPr>
          <w:rFonts w:ascii="Arial" w:cs="Arial" w:eastAsia="Arial" w:hAnsi="Arial"/>
          <w:color w:val="090A0B"/>
          <w:sz w:val="20"/>
          <w:szCs w:val="20"/>
        </w:rPr>
        <w:t xml:space="preserve">Dados de autenticação (credenciais de acesso);</w:t>
      </w:r>
    </w:p>
    <w:p>
      <w:pPr>
        <w:pStyle w:val="ListParagraph"/>
        <w:numPr>
          <w:ilvl w:val="0"/>
          <w:numId w:val="1"/>
        </w:numPr>
        <w:spacing w:after="60" w:before="60"/>
        <w:jc w:val="both"/>
      </w:pPr>
      <w:r>
        <w:rPr>
          <w:rFonts w:ascii="Arial" w:cs="Arial" w:eastAsia="Arial" w:hAnsi="Arial"/>
          <w:color w:val="090A0B"/>
          <w:sz w:val="20"/>
          <w:szCs w:val="20"/>
        </w:rPr>
        <w:t xml:space="preserve">Logs de acesso, IP e dados de navegação na Plataforma;</w:t>
      </w:r>
    </w:p>
    <w:p>
      <w:pPr>
        <w:pStyle w:val="ListParagraph"/>
        <w:numPr>
          <w:ilvl w:val="0"/>
          <w:numId w:val="1"/>
        </w:numPr>
        <w:spacing w:after="60" w:before="60"/>
        <w:jc w:val="both"/>
      </w:pPr>
      <w:r>
        <w:rPr>
          <w:rFonts w:ascii="Arial" w:cs="Arial" w:eastAsia="Arial" w:hAnsi="Arial"/>
          <w:color w:val="090A0B"/>
          <w:sz w:val="20"/>
          <w:szCs w:val="20"/>
        </w:rPr>
        <w:t xml:space="preserve">Preferências de configuração.</w:t>
      </w:r>
    </w:p>
    <w:p>
      <w:pPr>
        <w:spacing w:after="80" w:before="280"/>
      </w:pPr>
      <w:r>
        <w:rPr>
          <w:rFonts w:ascii="Arial" w:cs="Arial" w:eastAsia="Arial" w:hAnsi="Arial"/>
          <w:b/>
          <w:bCs/>
          <w:color w:val="090A0B"/>
          <w:sz w:val="22"/>
          <w:szCs w:val="22"/>
        </w:rPr>
        <w:t xml:space="preserve">2.2 Dados de Terceiros (Pragma como Operadora)</w:t>
      </w:r>
    </w:p>
    <w:p>
      <w:pPr>
        <w:spacing w:after="80" w:before="80"/>
        <w:jc w:val="both"/>
      </w:pPr>
      <w:r>
        <w:rPr>
          <w:rFonts w:ascii="Arial" w:cs="Arial" w:eastAsia="Arial" w:hAnsi="Arial"/>
          <w:color w:val="090A0B"/>
          <w:sz w:val="20"/>
          <w:szCs w:val="20"/>
        </w:rPr>
        <w:t xml:space="preserve">Ao utilizar os módulos de CRM, bots, redes sociais e canais de atendimento, o Cliente pode inserir na Plataforma dados pessoais de terceiros, incluindo:</w:t>
      </w:r>
    </w:p>
    <w:p>
      <w:pPr>
        <w:pStyle w:val="ListParagraph"/>
        <w:numPr>
          <w:ilvl w:val="0"/>
          <w:numId w:val="1"/>
        </w:numPr>
        <w:spacing w:after="60" w:before="60"/>
        <w:jc w:val="both"/>
      </w:pPr>
      <w:r>
        <w:rPr>
          <w:rFonts w:ascii="Arial" w:cs="Arial" w:eastAsia="Arial" w:hAnsi="Arial"/>
          <w:color w:val="090A0B"/>
          <w:sz w:val="20"/>
          <w:szCs w:val="20"/>
        </w:rPr>
        <w:t xml:space="preserve">Nome, e-mail, telefone e dados de contato de leads e clientes finais;</w:t>
      </w:r>
    </w:p>
    <w:p>
      <w:pPr>
        <w:pStyle w:val="ListParagraph"/>
        <w:numPr>
          <w:ilvl w:val="0"/>
          <w:numId w:val="1"/>
        </w:numPr>
        <w:spacing w:after="60" w:before="60"/>
        <w:jc w:val="both"/>
      </w:pPr>
      <w:r>
        <w:rPr>
          <w:rFonts w:ascii="Arial" w:cs="Arial" w:eastAsia="Arial" w:hAnsi="Arial"/>
          <w:color w:val="090A0B"/>
          <w:sz w:val="20"/>
          <w:szCs w:val="20"/>
        </w:rPr>
        <w:t xml:space="preserve">Mensagens e histórico de interações em canais digitais;</w:t>
      </w:r>
    </w:p>
    <w:p>
      <w:pPr>
        <w:pStyle w:val="ListParagraph"/>
        <w:numPr>
          <w:ilvl w:val="0"/>
          <w:numId w:val="1"/>
        </w:numPr>
        <w:spacing w:after="60" w:before="60"/>
        <w:jc w:val="both"/>
      </w:pPr>
      <w:r>
        <w:rPr>
          <w:rFonts w:ascii="Arial" w:cs="Arial" w:eastAsia="Arial" w:hAnsi="Arial"/>
          <w:color w:val="090A0B"/>
          <w:sz w:val="20"/>
          <w:szCs w:val="20"/>
        </w:rPr>
        <w:t xml:space="preserve">Conteúdo de redes sociais (comentários, mensagens diretas, publicações);</w:t>
      </w:r>
    </w:p>
    <w:p>
      <w:pPr>
        <w:pStyle w:val="ListParagraph"/>
        <w:numPr>
          <w:ilvl w:val="0"/>
          <w:numId w:val="1"/>
        </w:numPr>
        <w:spacing w:after="60" w:before="60"/>
        <w:jc w:val="both"/>
      </w:pPr>
      <w:r>
        <w:rPr>
          <w:rFonts w:ascii="Arial" w:cs="Arial" w:eastAsia="Arial" w:hAnsi="Arial"/>
          <w:color w:val="090A0B"/>
          <w:sz w:val="20"/>
          <w:szCs w:val="20"/>
        </w:rPr>
        <w:t xml:space="preserve">Arquivos e documentos enviados pelos usuários finais do Cliente;</w:t>
      </w:r>
    </w:p>
    <w:p>
      <w:pPr>
        <w:pStyle w:val="ListParagraph"/>
        <w:numPr>
          <w:ilvl w:val="0"/>
          <w:numId w:val="1"/>
        </w:numPr>
        <w:spacing w:after="60" w:before="60"/>
        <w:jc w:val="both"/>
      </w:pPr>
      <w:r>
        <w:rPr>
          <w:rFonts w:ascii="Arial" w:cs="Arial" w:eastAsia="Arial" w:hAnsi="Arial"/>
          <w:color w:val="090A0B"/>
          <w:sz w:val="20"/>
          <w:szCs w:val="20"/>
        </w:rPr>
        <w:t xml:space="preserve">Dados comportamentais e de engajamento digital.</w:t>
      </w:r>
    </w:p>
    <w:p>
      <w:pPr>
        <w:spacing w:after="80" w:before="80"/>
        <w:jc w:val="both"/>
      </w:pPr>
      <w:r>
        <w:rPr>
          <w:rFonts w:ascii="Arial" w:cs="Arial" w:eastAsia="Arial" w:hAnsi="Arial"/>
          <w:color w:val="090A0B"/>
          <w:sz w:val="20"/>
          <w:szCs w:val="20"/>
        </w:rPr>
        <w:t xml:space="preserve">Para esses dados, o Cliente é o Controlador e a Pragma atua exclusivamente como Operadora, processando-os conforme as instruções do Cliente e sem utilizá-los para finalidades próprias.</w:t>
      </w:r>
    </w:p>
    <w:p>
      <w:pPr>
        <w:pBdr>
          <w:bottom w:val="single" w:color="E2E8F0" w:sz="4" w:space="4"/>
        </w:pBdr>
        <w:spacing w:after="200" w:before="200"/>
      </w:pPr>
    </w:p>
    <w:p>
      <w:pPr>
        <w:pBdr>
          <w:bottom w:val="single" w:color="C70F48" w:sz="6" w:space="4"/>
        </w:pBdr>
        <w:spacing w:after="120" w:before="360"/>
      </w:pPr>
      <w:r>
        <w:rPr>
          <w:rFonts w:ascii="Arial" w:cs="Arial" w:eastAsia="Arial" w:hAnsi="Arial"/>
          <w:b/>
          <w:bCs/>
          <w:color w:val="C70F48"/>
          <w:sz w:val="24"/>
          <w:szCs w:val="24"/>
        </w:rPr>
        <w:t xml:space="preserve">3. Finalidades do Tratamento</w:t>
      </w:r>
    </w:p>
    <w:p>
      <w:pPr>
        <w:spacing w:after="80" w:before="280"/>
      </w:pPr>
      <w:r>
        <w:rPr>
          <w:rFonts w:ascii="Arial" w:cs="Arial" w:eastAsia="Arial" w:hAnsi="Arial"/>
          <w:b/>
          <w:bCs/>
          <w:color w:val="090A0B"/>
          <w:sz w:val="22"/>
          <w:szCs w:val="22"/>
        </w:rPr>
        <w:t xml:space="preserve">3.1 Dados dos Usuários Autorizados</w:t>
      </w:r>
    </w:p>
    <w:p>
      <w:pPr>
        <w:pStyle w:val="ListParagraph"/>
        <w:numPr>
          <w:ilvl w:val="0"/>
          <w:numId w:val="1"/>
        </w:numPr>
        <w:spacing w:after="60" w:before="60"/>
        <w:jc w:val="both"/>
      </w:pPr>
      <w:r>
        <w:rPr>
          <w:rFonts w:ascii="Arial" w:cs="Arial" w:eastAsia="Arial" w:hAnsi="Arial"/>
          <w:color w:val="090A0B"/>
          <w:sz w:val="20"/>
          <w:szCs w:val="20"/>
        </w:rPr>
        <w:t xml:space="preserve">Autenticação e controle de acesso à Plataforma;</w:t>
      </w:r>
    </w:p>
    <w:p>
      <w:pPr>
        <w:pStyle w:val="ListParagraph"/>
        <w:numPr>
          <w:ilvl w:val="0"/>
          <w:numId w:val="1"/>
        </w:numPr>
        <w:spacing w:after="60" w:before="60"/>
        <w:jc w:val="both"/>
      </w:pPr>
      <w:r>
        <w:rPr>
          <w:rFonts w:ascii="Arial" w:cs="Arial" w:eastAsia="Arial" w:hAnsi="Arial"/>
          <w:color w:val="090A0B"/>
          <w:sz w:val="20"/>
          <w:szCs w:val="20"/>
        </w:rPr>
        <w:t xml:space="preserve">Suporte técnico e atendimento ao Cliente;</w:t>
      </w:r>
    </w:p>
    <w:p>
      <w:pPr>
        <w:pStyle w:val="ListParagraph"/>
        <w:numPr>
          <w:ilvl w:val="0"/>
          <w:numId w:val="1"/>
        </w:numPr>
        <w:spacing w:after="60" w:before="60"/>
        <w:jc w:val="both"/>
      </w:pPr>
      <w:r>
        <w:rPr>
          <w:rFonts w:ascii="Arial" w:cs="Arial" w:eastAsia="Arial" w:hAnsi="Arial"/>
          <w:color w:val="090A0B"/>
          <w:sz w:val="20"/>
          <w:szCs w:val="20"/>
        </w:rPr>
        <w:t xml:space="preserve">Segurança e monitoramento de uso;</w:t>
      </w:r>
    </w:p>
    <w:p>
      <w:pPr>
        <w:pStyle w:val="ListParagraph"/>
        <w:numPr>
          <w:ilvl w:val="0"/>
          <w:numId w:val="1"/>
        </w:numPr>
        <w:spacing w:after="60" w:before="60"/>
        <w:jc w:val="both"/>
      </w:pPr>
      <w:r>
        <w:rPr>
          <w:rFonts w:ascii="Arial" w:cs="Arial" w:eastAsia="Arial" w:hAnsi="Arial"/>
          <w:color w:val="090A0B"/>
          <w:sz w:val="20"/>
          <w:szCs w:val="20"/>
        </w:rPr>
        <w:t xml:space="preserve">Cumprimento de obrigações legais e regulatórias;</w:t>
      </w:r>
    </w:p>
    <w:p>
      <w:pPr>
        <w:pStyle w:val="ListParagraph"/>
        <w:numPr>
          <w:ilvl w:val="0"/>
          <w:numId w:val="1"/>
        </w:numPr>
        <w:spacing w:after="60" w:before="60"/>
        <w:jc w:val="both"/>
      </w:pPr>
      <w:r>
        <w:rPr>
          <w:rFonts w:ascii="Arial" w:cs="Arial" w:eastAsia="Arial" w:hAnsi="Arial"/>
          <w:color w:val="090A0B"/>
          <w:sz w:val="20"/>
          <w:szCs w:val="20"/>
        </w:rPr>
        <w:t xml:space="preserve">Melhoria contínua da Plataforma (dados anonimizados ou agregados).</w:t>
      </w:r>
    </w:p>
    <w:p>
      <w:pPr>
        <w:spacing w:after="80" w:before="280"/>
      </w:pPr>
      <w:r>
        <w:rPr>
          <w:rFonts w:ascii="Arial" w:cs="Arial" w:eastAsia="Arial" w:hAnsi="Arial"/>
          <w:b/>
          <w:bCs/>
          <w:color w:val="090A0B"/>
          <w:sz w:val="22"/>
          <w:szCs w:val="22"/>
        </w:rPr>
        <w:t xml:space="preserve">3.2 Dados de Terceiros</w:t>
      </w:r>
    </w:p>
    <w:p>
      <w:pPr>
        <w:pStyle w:val="ListParagraph"/>
        <w:numPr>
          <w:ilvl w:val="0"/>
          <w:numId w:val="1"/>
        </w:numPr>
        <w:spacing w:after="60" w:before="60"/>
        <w:jc w:val="both"/>
      </w:pPr>
      <w:r>
        <w:rPr>
          <w:rFonts w:ascii="Arial" w:cs="Arial" w:eastAsia="Arial" w:hAnsi="Arial"/>
          <w:color w:val="090A0B"/>
          <w:sz w:val="20"/>
          <w:szCs w:val="20"/>
        </w:rPr>
        <w:t xml:space="preserve">Exclusivamente para execução dos serviços contratados pelo Cliente (gestão de atendimento, CRM, automações, publicações em redes sociais);</w:t>
      </w:r>
    </w:p>
    <w:p>
      <w:pPr>
        <w:pStyle w:val="ListParagraph"/>
        <w:numPr>
          <w:ilvl w:val="0"/>
          <w:numId w:val="1"/>
        </w:numPr>
        <w:spacing w:after="60" w:before="60"/>
        <w:jc w:val="both"/>
      </w:pPr>
      <w:r>
        <w:rPr>
          <w:rFonts w:ascii="Arial" w:cs="Arial" w:eastAsia="Arial" w:hAnsi="Arial"/>
          <w:color w:val="090A0B"/>
          <w:sz w:val="20"/>
          <w:szCs w:val="20"/>
        </w:rPr>
        <w:t xml:space="preserve">A Pragma não utiliza os Dados de Terceiros para fins próprios, de marketing ou de enriquecimento de base.</w:t>
      </w:r>
    </w:p>
    <w:p>
      <w:pPr>
        <w:pBdr>
          <w:bottom w:val="single" w:color="E2E8F0" w:sz="4" w:space="4"/>
        </w:pBdr>
        <w:spacing w:after="200" w:before="200"/>
      </w:pPr>
    </w:p>
    <w:p>
      <w:pPr>
        <w:pBdr>
          <w:bottom w:val="single" w:color="C70F48" w:sz="6" w:space="4"/>
        </w:pBdr>
        <w:spacing w:after="120" w:before="360"/>
      </w:pPr>
      <w:r>
        <w:rPr>
          <w:rFonts w:ascii="Arial" w:cs="Arial" w:eastAsia="Arial" w:hAnsi="Arial"/>
          <w:b/>
          <w:bCs/>
          <w:color w:val="C70F48"/>
          <w:sz w:val="24"/>
          <w:szCs w:val="24"/>
        </w:rPr>
        <w:t xml:space="preserve">4. Bases Legais</w:t>
      </w:r>
    </w:p>
    <w:p>
      <w:pPr>
        <w:spacing w:after="80" w:before="80"/>
        <w:jc w:val="both"/>
      </w:pPr>
      <w:r>
        <w:rPr>
          <w:rFonts w:ascii="Arial" w:cs="Arial" w:eastAsia="Arial" w:hAnsi="Arial"/>
          <w:color w:val="090A0B"/>
          <w:sz w:val="20"/>
          <w:szCs w:val="20"/>
        </w:rPr>
        <w:t xml:space="preserve">O tratamento de dados pela Pragma se fundamenta nas seguintes bases legais da LGPD:</w:t>
      </w:r>
    </w:p>
    <w:p>
      <w:pPr>
        <w:pStyle w:val="ListParagraph"/>
        <w:numPr>
          <w:ilvl w:val="0"/>
          <w:numId w:val="1"/>
        </w:numPr>
        <w:spacing w:after="60" w:before="60"/>
        <w:jc w:val="both"/>
      </w:pPr>
      <w:r>
        <w:rPr>
          <w:rFonts w:ascii="Arial" w:cs="Arial" w:eastAsia="Arial" w:hAnsi="Arial"/>
          <w:color w:val="090A0B"/>
          <w:sz w:val="20"/>
          <w:szCs w:val="20"/>
        </w:rPr>
        <w:t xml:space="preserve">Execução de contrato (art. 7º, V): tratamento necessário para prestação dos serviços contratados.</w:t>
      </w:r>
    </w:p>
    <w:p>
      <w:pPr>
        <w:pStyle w:val="ListParagraph"/>
        <w:numPr>
          <w:ilvl w:val="0"/>
          <w:numId w:val="1"/>
        </w:numPr>
        <w:spacing w:after="60" w:before="60"/>
        <w:jc w:val="both"/>
      </w:pPr>
      <w:r>
        <w:rPr>
          <w:rFonts w:ascii="Arial" w:cs="Arial" w:eastAsia="Arial" w:hAnsi="Arial"/>
          <w:color w:val="090A0B"/>
          <w:sz w:val="20"/>
          <w:szCs w:val="20"/>
        </w:rPr>
        <w:t xml:space="preserve">Cumprimento de obrigação legal (art. 7º, II): retenção de logs e registros exigidos por lei.</w:t>
      </w:r>
    </w:p>
    <w:p>
      <w:pPr>
        <w:pStyle w:val="ListParagraph"/>
        <w:numPr>
          <w:ilvl w:val="0"/>
          <w:numId w:val="1"/>
        </w:numPr>
        <w:spacing w:after="60" w:before="60"/>
        <w:jc w:val="both"/>
      </w:pPr>
      <w:r>
        <w:rPr>
          <w:rFonts w:ascii="Arial" w:cs="Arial" w:eastAsia="Arial" w:hAnsi="Arial"/>
          <w:color w:val="090A0B"/>
          <w:sz w:val="20"/>
          <w:szCs w:val="20"/>
        </w:rPr>
        <w:t xml:space="preserve">Legítimo interesse (art. 7º, IX): segurança da Plataforma e prevenção de fraudes.</w:t>
      </w:r>
    </w:p>
    <w:p>
      <w:pPr>
        <w:pStyle w:val="ListParagraph"/>
        <w:numPr>
          <w:ilvl w:val="0"/>
          <w:numId w:val="1"/>
        </w:numPr>
        <w:spacing w:after="60" w:before="60"/>
        <w:jc w:val="both"/>
      </w:pPr>
      <w:r>
        <w:rPr>
          <w:rFonts w:ascii="Arial" w:cs="Arial" w:eastAsia="Arial" w:hAnsi="Arial"/>
          <w:color w:val="090A0B"/>
          <w:sz w:val="20"/>
          <w:szCs w:val="20"/>
        </w:rPr>
        <w:t xml:space="preserve">Consentimento (art. 7º, I): quando aplicável, para funcionalidades opcionais.</w:t>
      </w:r>
    </w:p>
    <w:p>
      <w:pPr>
        <w:spacing w:after="80" w:before="80"/>
        <w:jc w:val="both"/>
      </w:pPr>
      <w:r>
        <w:rPr>
          <w:rFonts w:ascii="Arial" w:cs="Arial" w:eastAsia="Arial" w:hAnsi="Arial"/>
          <w:color w:val="090A0B"/>
          <w:sz w:val="20"/>
          <w:szCs w:val="20"/>
        </w:rPr>
        <w:t xml:space="preserve">Para os Dados de Terceiros, a base legal é responsabilidade do Cliente (Controlador), que deve assegurar sua adequação antes de inserir os dados na Plataforma.</w:t>
      </w:r>
    </w:p>
    <w:p>
      <w:pPr>
        <w:pBdr>
          <w:bottom w:val="single" w:color="E2E8F0" w:sz="4" w:space="4"/>
        </w:pBdr>
        <w:spacing w:after="200" w:before="200"/>
      </w:pPr>
    </w:p>
    <w:p>
      <w:pPr>
        <w:pBdr>
          <w:bottom w:val="single" w:color="C70F48" w:sz="6" w:space="4"/>
        </w:pBdr>
        <w:spacing w:after="120" w:before="360"/>
      </w:pPr>
      <w:r>
        <w:rPr>
          <w:rFonts w:ascii="Arial" w:cs="Arial" w:eastAsia="Arial" w:hAnsi="Arial"/>
          <w:b/>
          <w:bCs/>
          <w:color w:val="C70F48"/>
          <w:sz w:val="24"/>
          <w:szCs w:val="24"/>
        </w:rPr>
        <w:t xml:space="preserve">5. Armazenamento e Retenção</w:t>
      </w:r>
    </w:p>
    <w:p>
      <w:pPr>
        <w:spacing w:after="80" w:before="80"/>
        <w:jc w:val="both"/>
      </w:pPr>
      <w:r>
        <w:rPr>
          <w:rFonts w:ascii="Arial" w:cs="Arial" w:eastAsia="Arial" w:hAnsi="Arial"/>
          <w:color w:val="090A0B"/>
          <w:sz w:val="20"/>
          <w:szCs w:val="20"/>
        </w:rPr>
        <w:t xml:space="preserve">Os dados tratados pela Plataforma são armazenados em infraestrutura de nuvem localizada no Brasil, com padrões de segurança compatíveis com as melhores práticas de mercado (criptografia em trânsito e em repouso, controle de acesso por perfil, backups periódicos).</w:t>
      </w:r>
    </w:p>
    <w:p>
      <w:pPr>
        <w:spacing w:after="80" w:before="80"/>
        <w:jc w:val="both"/>
      </w:pPr>
      <w:r>
        <w:rPr>
          <w:rFonts w:ascii="Arial" w:cs="Arial" w:eastAsia="Arial" w:hAnsi="Arial"/>
          <w:color w:val="090A0B"/>
          <w:sz w:val="20"/>
          <w:szCs w:val="20"/>
        </w:rPr>
        <w:t xml:space="preserve">Os prazos de retenção são:</w:t>
      </w:r>
    </w:p>
    <w:p>
      <w:pPr>
        <w:pStyle w:val="ListParagraph"/>
        <w:numPr>
          <w:ilvl w:val="0"/>
          <w:numId w:val="1"/>
        </w:numPr>
        <w:spacing w:after="60" w:before="60"/>
        <w:jc w:val="both"/>
      </w:pPr>
      <w:r>
        <w:rPr>
          <w:rFonts w:ascii="Arial" w:cs="Arial" w:eastAsia="Arial" w:hAnsi="Arial"/>
          <w:color w:val="090A0B"/>
          <w:sz w:val="20"/>
          <w:szCs w:val="20"/>
        </w:rPr>
        <w:t xml:space="preserve">Dados dos Usuários Autorizados: pelo período de vigência do contrato + 5 (cinco) anos, salvo obrigação legal diversa;</w:t>
      </w:r>
    </w:p>
    <w:p>
      <w:pPr>
        <w:pStyle w:val="ListParagraph"/>
        <w:numPr>
          <w:ilvl w:val="0"/>
          <w:numId w:val="1"/>
        </w:numPr>
        <w:spacing w:after="60" w:before="60"/>
        <w:jc w:val="both"/>
      </w:pPr>
      <w:r>
        <w:rPr>
          <w:rFonts w:ascii="Arial" w:cs="Arial" w:eastAsia="Arial" w:hAnsi="Arial"/>
          <w:color w:val="090A0B"/>
          <w:sz w:val="20"/>
          <w:szCs w:val="20"/>
        </w:rPr>
        <w:t xml:space="preserve">Logs de acesso: 6 (seis) meses, nos termos do Marco Civil da Internet (Lei 12.965/2014);</w:t>
      </w:r>
    </w:p>
    <w:p>
      <w:pPr>
        <w:pStyle w:val="ListParagraph"/>
        <w:numPr>
          <w:ilvl w:val="0"/>
          <w:numId w:val="1"/>
        </w:numPr>
        <w:spacing w:after="60" w:before="60"/>
        <w:jc w:val="both"/>
      </w:pPr>
      <w:r>
        <w:rPr>
          <w:rFonts w:ascii="Arial" w:cs="Arial" w:eastAsia="Arial" w:hAnsi="Arial"/>
          <w:color w:val="090A0B"/>
          <w:sz w:val="20"/>
          <w:szCs w:val="20"/>
        </w:rPr>
        <w:t xml:space="preserve">Dados de Terceiros: conforme instrução do Cliente. Após o encerramento do contrato, os dados serão mantidos por até 30 (trinta) dias para exportação e, após esse prazo, excluídos, salvo obrigação legal de retenção.</w:t>
      </w:r>
    </w:p>
    <w:p>
      <w:pPr>
        <w:pBdr>
          <w:bottom w:val="single" w:color="E2E8F0" w:sz="4" w:space="4"/>
        </w:pBdr>
        <w:spacing w:after="200" w:before="200"/>
      </w:pPr>
    </w:p>
    <w:p>
      <w:pPr>
        <w:pBdr>
          <w:bottom w:val="single" w:color="C70F48" w:sz="6" w:space="4"/>
        </w:pBdr>
        <w:spacing w:after="120" w:before="360"/>
      </w:pPr>
      <w:r>
        <w:rPr>
          <w:rFonts w:ascii="Arial" w:cs="Arial" w:eastAsia="Arial" w:hAnsi="Arial"/>
          <w:b/>
          <w:bCs/>
          <w:color w:val="C70F48"/>
          <w:sz w:val="24"/>
          <w:szCs w:val="24"/>
        </w:rPr>
        <w:t xml:space="preserve">6. Compartilhamento de Dados</w:t>
      </w:r>
    </w:p>
    <w:p>
      <w:pPr>
        <w:spacing w:after="80" w:before="80"/>
        <w:jc w:val="both"/>
      </w:pPr>
      <w:r>
        <w:rPr>
          <w:rFonts w:ascii="Arial" w:cs="Arial" w:eastAsia="Arial" w:hAnsi="Arial"/>
          <w:color w:val="090A0B"/>
          <w:sz w:val="20"/>
          <w:szCs w:val="20"/>
        </w:rPr>
        <w:t xml:space="preserve">A Pragma não vende, aluga ou cede dados pessoais a terceiros para fins comerciais.</w:t>
      </w:r>
    </w:p>
    <w:p>
      <w:pPr>
        <w:spacing w:after="80" w:before="80"/>
        <w:jc w:val="both"/>
      </w:pPr>
      <w:r>
        <w:rPr>
          <w:rFonts w:ascii="Arial" w:cs="Arial" w:eastAsia="Arial" w:hAnsi="Arial"/>
          <w:color w:val="090A0B"/>
          <w:sz w:val="20"/>
          <w:szCs w:val="20"/>
        </w:rPr>
        <w:t xml:space="preserve">Os dados poderão ser compartilhados apenas nas seguintes hipóteses:</w:t>
      </w:r>
    </w:p>
    <w:p>
      <w:pPr>
        <w:pStyle w:val="ListParagraph"/>
        <w:numPr>
          <w:ilvl w:val="0"/>
          <w:numId w:val="1"/>
        </w:numPr>
        <w:spacing w:after="60" w:before="60"/>
        <w:jc w:val="both"/>
      </w:pPr>
      <w:r>
        <w:rPr>
          <w:rFonts w:ascii="Arial" w:cs="Arial" w:eastAsia="Arial" w:hAnsi="Arial"/>
          <w:color w:val="090A0B"/>
          <w:sz w:val="20"/>
          <w:szCs w:val="20"/>
        </w:rPr>
        <w:t xml:space="preserve">Fornecedores de infraestrutura tecnológica (provedores de nuvem, serviços de e-mail transacional) que atuam como suboperadores, sob acordos de confidencialidade e proteção de dados;</w:t>
      </w:r>
    </w:p>
    <w:p>
      <w:pPr>
        <w:pStyle w:val="ListParagraph"/>
        <w:numPr>
          <w:ilvl w:val="0"/>
          <w:numId w:val="1"/>
        </w:numPr>
        <w:spacing w:after="60" w:before="60"/>
        <w:jc w:val="both"/>
      </w:pPr>
      <w:r>
        <w:rPr>
          <w:rFonts w:ascii="Arial" w:cs="Arial" w:eastAsia="Arial" w:hAnsi="Arial"/>
          <w:color w:val="090A0B"/>
          <w:sz w:val="20"/>
          <w:szCs w:val="20"/>
        </w:rPr>
        <w:t xml:space="preserve">Plataformas de redes sociais integradas (Meta, Google, X/Twitter e outras), mediante autorização prévia do Cliente e conforme as políticas dessas plataformas;</w:t>
      </w:r>
    </w:p>
    <w:p>
      <w:pPr>
        <w:pStyle w:val="ListParagraph"/>
        <w:numPr>
          <w:ilvl w:val="0"/>
          <w:numId w:val="1"/>
        </w:numPr>
        <w:spacing w:after="60" w:before="60"/>
        <w:jc w:val="both"/>
      </w:pPr>
      <w:r>
        <w:rPr>
          <w:rFonts w:ascii="Arial" w:cs="Arial" w:eastAsia="Arial" w:hAnsi="Arial"/>
          <w:color w:val="090A0B"/>
          <w:sz w:val="20"/>
          <w:szCs w:val="20"/>
        </w:rPr>
        <w:t xml:space="preserve">Autoridades públicas, quando exigido por ordem judicial, administrativa ou legal;</w:t>
      </w:r>
    </w:p>
    <w:p>
      <w:pPr>
        <w:pStyle w:val="ListParagraph"/>
        <w:numPr>
          <w:ilvl w:val="0"/>
          <w:numId w:val="1"/>
        </w:numPr>
        <w:spacing w:after="60" w:before="60"/>
        <w:jc w:val="both"/>
      </w:pPr>
      <w:r>
        <w:rPr>
          <w:rFonts w:ascii="Arial" w:cs="Arial" w:eastAsia="Arial" w:hAnsi="Arial"/>
          <w:color w:val="090A0B"/>
          <w:sz w:val="20"/>
          <w:szCs w:val="20"/>
        </w:rPr>
        <w:t xml:space="preserve">Sucessores em caso de fusão, aquisição ou reorganização societária, com manutenção das mesmas condições de proteção.</w:t>
      </w:r>
    </w:p>
    <w:p>
      <w:pPr>
        <w:pBdr>
          <w:bottom w:val="single" w:color="E2E8F0" w:sz="4" w:space="4"/>
        </w:pBdr>
        <w:spacing w:after="200" w:before="200"/>
      </w:pPr>
    </w:p>
    <w:p>
      <w:pPr>
        <w:pBdr>
          <w:bottom w:val="single" w:color="C70F48" w:sz="6" w:space="4"/>
        </w:pBdr>
        <w:spacing w:after="120" w:before="360"/>
      </w:pPr>
      <w:r>
        <w:rPr>
          <w:rFonts w:ascii="Arial" w:cs="Arial" w:eastAsia="Arial" w:hAnsi="Arial"/>
          <w:b/>
          <w:bCs/>
          <w:color w:val="C70F48"/>
          <w:sz w:val="24"/>
          <w:szCs w:val="24"/>
        </w:rPr>
        <w:t xml:space="preserve">7. Segurança da Informação</w:t>
      </w:r>
    </w:p>
    <w:p>
      <w:pPr>
        <w:spacing w:after="80" w:before="80"/>
        <w:jc w:val="both"/>
      </w:pPr>
      <w:r>
        <w:rPr>
          <w:rFonts w:ascii="Arial" w:cs="Arial" w:eastAsia="Arial" w:hAnsi="Arial"/>
          <w:color w:val="090A0B"/>
          <w:sz w:val="20"/>
          <w:szCs w:val="20"/>
        </w:rPr>
        <w:t xml:space="preserve">A Pragma adota medidas técnicas e organizacionais adequadas para proteger os dados pessoais contra acesso não autorizado, perda, alteração ou destruição, incluindo:</w:t>
      </w:r>
    </w:p>
    <w:p>
      <w:pPr>
        <w:pStyle w:val="ListParagraph"/>
        <w:numPr>
          <w:ilvl w:val="0"/>
          <w:numId w:val="1"/>
        </w:numPr>
        <w:spacing w:after="60" w:before="60"/>
        <w:jc w:val="both"/>
      </w:pPr>
      <w:r>
        <w:rPr>
          <w:rFonts w:ascii="Arial" w:cs="Arial" w:eastAsia="Arial" w:hAnsi="Arial"/>
          <w:color w:val="090A0B"/>
          <w:sz w:val="20"/>
          <w:szCs w:val="20"/>
        </w:rPr>
        <w:t xml:space="preserve">Criptografia TLS em trânsito e AES-256 em repouso;</w:t>
      </w:r>
    </w:p>
    <w:p>
      <w:pPr>
        <w:pStyle w:val="ListParagraph"/>
        <w:numPr>
          <w:ilvl w:val="0"/>
          <w:numId w:val="1"/>
        </w:numPr>
        <w:spacing w:after="60" w:before="60"/>
        <w:jc w:val="both"/>
      </w:pPr>
      <w:r>
        <w:rPr>
          <w:rFonts w:ascii="Arial" w:cs="Arial" w:eastAsia="Arial" w:hAnsi="Arial"/>
          <w:color w:val="090A0B"/>
          <w:sz w:val="20"/>
          <w:szCs w:val="20"/>
        </w:rPr>
        <w:t xml:space="preserve">Autenticação por credenciais individuais com controle de perfis;</w:t>
      </w:r>
    </w:p>
    <w:p>
      <w:pPr>
        <w:pStyle w:val="ListParagraph"/>
        <w:numPr>
          <w:ilvl w:val="0"/>
          <w:numId w:val="1"/>
        </w:numPr>
        <w:spacing w:after="60" w:before="60"/>
        <w:jc w:val="both"/>
      </w:pPr>
      <w:r>
        <w:rPr>
          <w:rFonts w:ascii="Arial" w:cs="Arial" w:eastAsia="Arial" w:hAnsi="Arial"/>
          <w:color w:val="090A0B"/>
          <w:sz w:val="20"/>
          <w:szCs w:val="20"/>
        </w:rPr>
        <w:t xml:space="preserve">Monitoramento de acessos e logs de auditoria;</w:t>
      </w:r>
    </w:p>
    <w:p>
      <w:pPr>
        <w:pStyle w:val="ListParagraph"/>
        <w:numPr>
          <w:ilvl w:val="0"/>
          <w:numId w:val="1"/>
        </w:numPr>
        <w:spacing w:after="60" w:before="60"/>
        <w:jc w:val="both"/>
      </w:pPr>
      <w:r>
        <w:rPr>
          <w:rFonts w:ascii="Arial" w:cs="Arial" w:eastAsia="Arial" w:hAnsi="Arial"/>
          <w:color w:val="090A0B"/>
          <w:sz w:val="20"/>
          <w:szCs w:val="20"/>
        </w:rPr>
        <w:t xml:space="preserve">Backups periódicos com procedimentos de recuperação;</w:t>
      </w:r>
    </w:p>
    <w:p>
      <w:pPr>
        <w:pStyle w:val="ListParagraph"/>
        <w:numPr>
          <w:ilvl w:val="0"/>
          <w:numId w:val="1"/>
        </w:numPr>
        <w:spacing w:after="60" w:before="60"/>
        <w:jc w:val="both"/>
      </w:pPr>
      <w:r>
        <w:rPr>
          <w:rFonts w:ascii="Arial" w:cs="Arial" w:eastAsia="Arial" w:hAnsi="Arial"/>
          <w:color w:val="090A0B"/>
          <w:sz w:val="20"/>
          <w:szCs w:val="20"/>
        </w:rPr>
        <w:t xml:space="preserve">Políticas internas de segurança da informação para a equipe.</w:t>
      </w:r>
    </w:p>
    <w:p>
      <w:pPr>
        <w:spacing w:after="80" w:before="80"/>
        <w:jc w:val="both"/>
      </w:pPr>
      <w:r>
        <w:rPr>
          <w:rFonts w:ascii="Arial" w:cs="Arial" w:eastAsia="Arial" w:hAnsi="Arial"/>
          <w:color w:val="090A0B"/>
          <w:sz w:val="20"/>
          <w:szCs w:val="20"/>
        </w:rPr>
        <w:t xml:space="preserve">Em caso de incidente de segurança que possa gerar risco ou dano aos titulares, a Pragma notificará o Cliente e, quando aplicável, a ANPD, nos prazos previstos pela LGPD.</w:t>
      </w:r>
    </w:p>
    <w:p>
      <w:pPr>
        <w:pBdr>
          <w:bottom w:val="single" w:color="E2E8F0" w:sz="4" w:space="4"/>
        </w:pBdr>
        <w:spacing w:after="200" w:before="200"/>
      </w:pPr>
    </w:p>
    <w:p>
      <w:pPr>
        <w:pBdr>
          <w:bottom w:val="single" w:color="C70F48" w:sz="6" w:space="4"/>
        </w:pBdr>
        <w:spacing w:after="120" w:before="360"/>
      </w:pPr>
      <w:r>
        <w:rPr>
          <w:rFonts w:ascii="Arial" w:cs="Arial" w:eastAsia="Arial" w:hAnsi="Arial"/>
          <w:b/>
          <w:bCs/>
          <w:color w:val="C70F48"/>
          <w:sz w:val="24"/>
          <w:szCs w:val="24"/>
        </w:rPr>
        <w:t xml:space="preserve">8. Direitos dos Titulares</w:t>
      </w:r>
    </w:p>
    <w:p>
      <w:pPr>
        <w:spacing w:after="80" w:before="80"/>
        <w:jc w:val="both"/>
      </w:pPr>
      <w:r>
        <w:rPr>
          <w:rFonts w:ascii="Arial" w:cs="Arial" w:eastAsia="Arial" w:hAnsi="Arial"/>
          <w:color w:val="090A0B"/>
          <w:sz w:val="20"/>
          <w:szCs w:val="20"/>
        </w:rPr>
        <w:t xml:space="preserve">Os titulares dos dados pessoais tratados por instrução do Cliente têm os seguintes direitos, que devem ser exercidos perante o próprio Cliente (Controlador):</w:t>
      </w:r>
    </w:p>
    <w:p>
      <w:pPr>
        <w:pStyle w:val="ListParagraph"/>
        <w:numPr>
          <w:ilvl w:val="0"/>
          <w:numId w:val="1"/>
        </w:numPr>
        <w:spacing w:after="60" w:before="60"/>
        <w:jc w:val="both"/>
      </w:pPr>
      <w:r>
        <w:rPr>
          <w:rFonts w:ascii="Arial" w:cs="Arial" w:eastAsia="Arial" w:hAnsi="Arial"/>
          <w:color w:val="090A0B"/>
          <w:sz w:val="20"/>
          <w:szCs w:val="20"/>
        </w:rPr>
        <w:t xml:space="preserve">Confirmação da existência de tratamento;</w:t>
      </w:r>
    </w:p>
    <w:p>
      <w:pPr>
        <w:pStyle w:val="ListParagraph"/>
        <w:numPr>
          <w:ilvl w:val="0"/>
          <w:numId w:val="1"/>
        </w:numPr>
        <w:spacing w:after="60" w:before="60"/>
        <w:jc w:val="both"/>
      </w:pPr>
      <w:r>
        <w:rPr>
          <w:rFonts w:ascii="Arial" w:cs="Arial" w:eastAsia="Arial" w:hAnsi="Arial"/>
          <w:color w:val="090A0B"/>
          <w:sz w:val="20"/>
          <w:szCs w:val="20"/>
        </w:rPr>
        <w:t xml:space="preserve">Acesso aos dados;</w:t>
      </w:r>
    </w:p>
    <w:p>
      <w:pPr>
        <w:pStyle w:val="ListParagraph"/>
        <w:numPr>
          <w:ilvl w:val="0"/>
          <w:numId w:val="1"/>
        </w:numPr>
        <w:spacing w:after="60" w:before="60"/>
        <w:jc w:val="both"/>
      </w:pPr>
      <w:r>
        <w:rPr>
          <w:rFonts w:ascii="Arial" w:cs="Arial" w:eastAsia="Arial" w:hAnsi="Arial"/>
          <w:color w:val="090A0B"/>
          <w:sz w:val="20"/>
          <w:szCs w:val="20"/>
        </w:rPr>
        <w:t xml:space="preserve">Correção de dados incompletos, inexatos ou desatualizados;</w:t>
      </w:r>
    </w:p>
    <w:p>
      <w:pPr>
        <w:pStyle w:val="ListParagraph"/>
        <w:numPr>
          <w:ilvl w:val="0"/>
          <w:numId w:val="1"/>
        </w:numPr>
        <w:spacing w:after="60" w:before="60"/>
        <w:jc w:val="both"/>
      </w:pPr>
      <w:r>
        <w:rPr>
          <w:rFonts w:ascii="Arial" w:cs="Arial" w:eastAsia="Arial" w:hAnsi="Arial"/>
          <w:color w:val="090A0B"/>
          <w:sz w:val="20"/>
          <w:szCs w:val="20"/>
        </w:rPr>
        <w:t xml:space="preserve">Anonimização, bloqueio ou eliminação de dados desnecessários;</w:t>
      </w:r>
    </w:p>
    <w:p>
      <w:pPr>
        <w:pStyle w:val="ListParagraph"/>
        <w:numPr>
          <w:ilvl w:val="0"/>
          <w:numId w:val="1"/>
        </w:numPr>
        <w:spacing w:after="60" w:before="60"/>
        <w:jc w:val="both"/>
      </w:pPr>
      <w:r>
        <w:rPr>
          <w:rFonts w:ascii="Arial" w:cs="Arial" w:eastAsia="Arial" w:hAnsi="Arial"/>
          <w:color w:val="090A0B"/>
          <w:sz w:val="20"/>
          <w:szCs w:val="20"/>
        </w:rPr>
        <w:t xml:space="preserve">Portabilidade dos dados;</w:t>
      </w:r>
    </w:p>
    <w:p>
      <w:pPr>
        <w:pStyle w:val="ListParagraph"/>
        <w:numPr>
          <w:ilvl w:val="0"/>
          <w:numId w:val="1"/>
        </w:numPr>
        <w:spacing w:after="60" w:before="60"/>
        <w:jc w:val="both"/>
      </w:pPr>
      <w:r>
        <w:rPr>
          <w:rFonts w:ascii="Arial" w:cs="Arial" w:eastAsia="Arial" w:hAnsi="Arial"/>
          <w:color w:val="090A0B"/>
          <w:sz w:val="20"/>
          <w:szCs w:val="20"/>
        </w:rPr>
        <w:t xml:space="preserve">Eliminação dos dados tratados com base no consentimento;</w:t>
      </w:r>
    </w:p>
    <w:p>
      <w:pPr>
        <w:pStyle w:val="ListParagraph"/>
        <w:numPr>
          <w:ilvl w:val="0"/>
          <w:numId w:val="1"/>
        </w:numPr>
        <w:spacing w:after="60" w:before="60"/>
        <w:jc w:val="both"/>
      </w:pPr>
      <w:r>
        <w:rPr>
          <w:rFonts w:ascii="Arial" w:cs="Arial" w:eastAsia="Arial" w:hAnsi="Arial"/>
          <w:color w:val="090A0B"/>
          <w:sz w:val="20"/>
          <w:szCs w:val="20"/>
        </w:rPr>
        <w:t xml:space="preserve">Informação sobre compartilhamento;</w:t>
      </w:r>
    </w:p>
    <w:p>
      <w:pPr>
        <w:pStyle w:val="ListParagraph"/>
        <w:numPr>
          <w:ilvl w:val="0"/>
          <w:numId w:val="1"/>
        </w:numPr>
        <w:spacing w:after="60" w:before="60"/>
        <w:jc w:val="both"/>
      </w:pPr>
      <w:r>
        <w:rPr>
          <w:rFonts w:ascii="Arial" w:cs="Arial" w:eastAsia="Arial" w:hAnsi="Arial"/>
          <w:color w:val="090A0B"/>
          <w:sz w:val="20"/>
          <w:szCs w:val="20"/>
        </w:rPr>
        <w:t xml:space="preserve">Revogação do consentimento.</w:t>
      </w:r>
    </w:p>
    <w:p>
      <w:pPr>
        <w:spacing w:after="80" w:before="80"/>
        <w:jc w:val="both"/>
      </w:pPr>
      <w:r>
        <w:rPr>
          <w:rFonts w:ascii="Arial" w:cs="Arial" w:eastAsia="Arial" w:hAnsi="Arial"/>
          <w:color w:val="090A0B"/>
          <w:sz w:val="20"/>
          <w:szCs w:val="20"/>
        </w:rPr>
        <w:t xml:space="preserve">A Pragma auxiliará o Cliente no atendimento a essas solicitações, na medida em que os dados estejam sob seu processamento, observados os prazos legais.</w:t>
      </w:r>
    </w:p>
    <w:p>
      <w:pPr>
        <w:spacing w:after="80" w:before="80"/>
        <w:jc w:val="both"/>
      </w:pPr>
      <w:r>
        <w:rPr>
          <w:rFonts w:ascii="Arial" w:cs="Arial" w:eastAsia="Arial" w:hAnsi="Arial"/>
          <w:color w:val="090A0B"/>
          <w:sz w:val="20"/>
          <w:szCs w:val="20"/>
        </w:rPr>
        <w:t xml:space="preserve">Os Usuários Autorizados podem exercer seus direitos diretamente perante a Pragma pelo canal indicado na seção 11.</w:t>
      </w:r>
    </w:p>
    <w:p>
      <w:pPr>
        <w:pBdr>
          <w:bottom w:val="single" w:color="E2E8F0" w:sz="4" w:space="4"/>
        </w:pBdr>
        <w:spacing w:after="200" w:before="200"/>
      </w:pPr>
    </w:p>
    <w:p>
      <w:pPr>
        <w:pBdr>
          <w:bottom w:val="single" w:color="C70F48" w:sz="6" w:space="4"/>
        </w:pBdr>
        <w:spacing w:after="120" w:before="360"/>
      </w:pPr>
      <w:r>
        <w:rPr>
          <w:rFonts w:ascii="Arial" w:cs="Arial" w:eastAsia="Arial" w:hAnsi="Arial"/>
          <w:b/>
          <w:bCs/>
          <w:color w:val="C70F48"/>
          <w:sz w:val="24"/>
          <w:szCs w:val="24"/>
        </w:rPr>
        <w:t xml:space="preserve">9. Transferência Internacional de Dados</w:t>
      </w:r>
    </w:p>
    <w:p>
      <w:pPr>
        <w:spacing w:after="80" w:before="80"/>
        <w:jc w:val="both"/>
      </w:pPr>
      <w:r>
        <w:rPr>
          <w:rFonts w:ascii="Arial" w:cs="Arial" w:eastAsia="Arial" w:hAnsi="Arial"/>
          <w:color w:val="090A0B"/>
          <w:sz w:val="20"/>
          <w:szCs w:val="20"/>
        </w:rPr>
        <w:t xml:space="preserve">Atualmente, os dados são tratados e armazenados no Brasil. A Pragma está em processo de expansão para Portugal (prevista para os próximos meses), o que poderá implicar transferência internacional de dados para a União Europeia.</w:t>
      </w:r>
    </w:p>
    <w:p>
      <w:pPr>
        <w:spacing w:after="80" w:before="80"/>
        <w:jc w:val="both"/>
      </w:pPr>
      <w:r>
        <w:rPr>
          <w:rFonts w:ascii="Arial" w:cs="Arial" w:eastAsia="Arial" w:hAnsi="Arial"/>
          <w:color w:val="090A0B"/>
          <w:sz w:val="20"/>
          <w:szCs w:val="20"/>
        </w:rPr>
        <w:t xml:space="preserve">Nesse caso, a Pragma adotará as salvaguardas exigidas pela LGPD (art. 33) e pelo Regulamento Geral de Proteção de Dados da União Europeia (GDPR — Regulamento 2016/679), incluindo:</w:t>
      </w:r>
    </w:p>
    <w:p>
      <w:pPr>
        <w:pStyle w:val="ListParagraph"/>
        <w:numPr>
          <w:ilvl w:val="0"/>
          <w:numId w:val="1"/>
        </w:numPr>
        <w:spacing w:after="60" w:before="60"/>
        <w:jc w:val="both"/>
      </w:pPr>
      <w:r>
        <w:rPr>
          <w:rFonts w:ascii="Arial" w:cs="Arial" w:eastAsia="Arial" w:hAnsi="Arial"/>
          <w:color w:val="090A0B"/>
          <w:sz w:val="20"/>
          <w:szCs w:val="20"/>
        </w:rPr>
        <w:t xml:space="preserve">Cláusulas contratuais padrão aprovadas pela Comissão Europeia;</w:t>
      </w:r>
    </w:p>
    <w:p>
      <w:pPr>
        <w:pStyle w:val="ListParagraph"/>
        <w:numPr>
          <w:ilvl w:val="0"/>
          <w:numId w:val="1"/>
        </w:numPr>
        <w:spacing w:after="60" w:before="60"/>
        <w:jc w:val="both"/>
      </w:pPr>
      <w:r>
        <w:rPr>
          <w:rFonts w:ascii="Arial" w:cs="Arial" w:eastAsia="Arial" w:hAnsi="Arial"/>
          <w:color w:val="090A0B"/>
          <w:sz w:val="20"/>
          <w:szCs w:val="20"/>
        </w:rPr>
        <w:t xml:space="preserve">Adequação do nível de proteção ao padrão exigido pelo GDPR;</w:t>
      </w:r>
    </w:p>
    <w:p>
      <w:pPr>
        <w:pStyle w:val="ListParagraph"/>
        <w:numPr>
          <w:ilvl w:val="0"/>
          <w:numId w:val="1"/>
        </w:numPr>
        <w:spacing w:after="60" w:before="60"/>
        <w:jc w:val="both"/>
      </w:pPr>
      <w:r>
        <w:rPr>
          <w:rFonts w:ascii="Arial" w:cs="Arial" w:eastAsia="Arial" w:hAnsi="Arial"/>
          <w:color w:val="090A0B"/>
          <w:sz w:val="20"/>
          <w:szCs w:val="20"/>
        </w:rPr>
        <w:t xml:space="preserve">Notificação prévia ao Cliente sobre eventuais transferências internacionais.</w:t>
      </w:r>
    </w:p>
    <w:p>
      <w:pPr>
        <w:spacing w:after="80" w:before="80"/>
        <w:jc w:val="both"/>
      </w:pPr>
      <w:r>
        <w:rPr>
          <w:rFonts w:ascii="Arial" w:cs="Arial" w:eastAsia="Arial" w:hAnsi="Arial"/>
          <w:color w:val="090A0B"/>
          <w:sz w:val="20"/>
          <w:szCs w:val="20"/>
        </w:rPr>
        <w:t xml:space="preserve">Esta Política será atualizada quando a operação em Portugal for efetivada.</w:t>
      </w:r>
    </w:p>
    <w:p>
      <w:pPr>
        <w:pBdr>
          <w:bottom w:val="single" w:color="E2E8F0" w:sz="4" w:space="4"/>
        </w:pBdr>
        <w:spacing w:after="200" w:before="200"/>
      </w:pPr>
    </w:p>
    <w:p>
      <w:pPr>
        <w:pBdr>
          <w:bottom w:val="single" w:color="C70F48" w:sz="6" w:space="4"/>
        </w:pBdr>
        <w:spacing w:after="120" w:before="360"/>
      </w:pPr>
      <w:r>
        <w:rPr>
          <w:rFonts w:ascii="Arial" w:cs="Arial" w:eastAsia="Arial" w:hAnsi="Arial"/>
          <w:b/>
          <w:bCs/>
          <w:color w:val="C70F48"/>
          <w:sz w:val="24"/>
          <w:szCs w:val="24"/>
        </w:rPr>
        <w:t xml:space="preserve">10. Responsabilidades do Cliente como Controlador</w:t>
      </w:r>
    </w:p>
    <w:p>
      <w:pPr>
        <w:spacing w:after="80" w:before="80"/>
        <w:jc w:val="both"/>
      </w:pPr>
      <w:r>
        <w:rPr>
          <w:rFonts w:ascii="Arial" w:cs="Arial" w:eastAsia="Arial" w:hAnsi="Arial"/>
          <w:color w:val="090A0B"/>
          <w:sz w:val="20"/>
          <w:szCs w:val="20"/>
        </w:rPr>
        <w:t xml:space="preserve">Ao utilizar a Plataforma para tratar Dados de Terceiros, o Cliente assume as seguintes responsabilidades como Controlador:</w:t>
      </w:r>
    </w:p>
    <w:p>
      <w:pPr>
        <w:pStyle w:val="ListParagraph"/>
        <w:numPr>
          <w:ilvl w:val="0"/>
          <w:numId w:val="1"/>
        </w:numPr>
        <w:spacing w:after="60" w:before="60"/>
        <w:jc w:val="both"/>
      </w:pPr>
      <w:r>
        <w:rPr>
          <w:rFonts w:ascii="Arial" w:cs="Arial" w:eastAsia="Arial" w:hAnsi="Arial"/>
          <w:color w:val="090A0B"/>
          <w:sz w:val="20"/>
          <w:szCs w:val="20"/>
        </w:rPr>
        <w:t xml:space="preserve">Garantir a existência de base legal adequada para o tratamento de cada categoria de dado inserida na Plataforma;</w:t>
      </w:r>
    </w:p>
    <w:p>
      <w:pPr>
        <w:pStyle w:val="ListParagraph"/>
        <w:numPr>
          <w:ilvl w:val="0"/>
          <w:numId w:val="1"/>
        </w:numPr>
        <w:spacing w:after="60" w:before="60"/>
        <w:jc w:val="both"/>
      </w:pPr>
      <w:r>
        <w:rPr>
          <w:rFonts w:ascii="Arial" w:cs="Arial" w:eastAsia="Arial" w:hAnsi="Arial"/>
          <w:color w:val="090A0B"/>
          <w:sz w:val="20"/>
          <w:szCs w:val="20"/>
        </w:rPr>
        <w:t xml:space="preserve">Informar os titulares sobre o tratamento de seus dados, nos termos do art. 9º da LGPD;</w:t>
      </w:r>
    </w:p>
    <w:p>
      <w:pPr>
        <w:pStyle w:val="ListParagraph"/>
        <w:numPr>
          <w:ilvl w:val="0"/>
          <w:numId w:val="1"/>
        </w:numPr>
        <w:spacing w:after="60" w:before="60"/>
        <w:jc w:val="both"/>
      </w:pPr>
      <w:r>
        <w:rPr>
          <w:rFonts w:ascii="Arial" w:cs="Arial" w:eastAsia="Arial" w:hAnsi="Arial"/>
          <w:color w:val="090A0B"/>
          <w:sz w:val="20"/>
          <w:szCs w:val="20"/>
        </w:rPr>
        <w:t xml:space="preserve">Assegurar que os dados inseridos não violem direitos de terceiros ou legislação aplicável;</w:t>
      </w:r>
    </w:p>
    <w:p>
      <w:pPr>
        <w:pStyle w:val="ListParagraph"/>
        <w:numPr>
          <w:ilvl w:val="0"/>
          <w:numId w:val="1"/>
        </w:numPr>
        <w:spacing w:after="60" w:before="60"/>
        <w:jc w:val="both"/>
      </w:pPr>
      <w:r>
        <w:rPr>
          <w:rFonts w:ascii="Arial" w:cs="Arial" w:eastAsia="Arial" w:hAnsi="Arial"/>
          <w:color w:val="090A0B"/>
          <w:sz w:val="20"/>
          <w:szCs w:val="20"/>
        </w:rPr>
        <w:t xml:space="preserve">Responder diretamente às solicitações dos titulares relacionadas aos Dados de Terceiros;</w:t>
      </w:r>
    </w:p>
    <w:p>
      <w:pPr>
        <w:pStyle w:val="ListParagraph"/>
        <w:numPr>
          <w:ilvl w:val="0"/>
          <w:numId w:val="1"/>
        </w:numPr>
        <w:spacing w:after="60" w:before="60"/>
        <w:jc w:val="both"/>
      </w:pPr>
      <w:r>
        <w:rPr>
          <w:rFonts w:ascii="Arial" w:cs="Arial" w:eastAsia="Arial" w:hAnsi="Arial"/>
          <w:color w:val="090A0B"/>
          <w:sz w:val="20"/>
          <w:szCs w:val="20"/>
        </w:rPr>
        <w:t xml:space="preserve">Não inserir dados de categorias sensíveis sem autorização prévia da Pragma e sem base legal específica (art. 11 da LGPD).</w:t>
      </w:r>
    </w:p>
    <w:p>
      <w:pPr>
        <w:pBdr>
          <w:bottom w:val="single" w:color="E2E8F0" w:sz="4" w:space="4"/>
        </w:pBdr>
        <w:spacing w:after="200" w:before="200"/>
      </w:pPr>
    </w:p>
    <w:p>
      <w:pPr>
        <w:pBdr>
          <w:bottom w:val="single" w:color="C70F48" w:sz="6" w:space="4"/>
        </w:pBdr>
        <w:spacing w:after="120" w:before="360"/>
      </w:pPr>
      <w:r>
        <w:rPr>
          <w:rFonts w:ascii="Arial" w:cs="Arial" w:eastAsia="Arial" w:hAnsi="Arial"/>
          <w:b/>
          <w:bCs/>
          <w:color w:val="C70F48"/>
          <w:sz w:val="24"/>
          <w:szCs w:val="24"/>
        </w:rPr>
        <w:t xml:space="preserve">11. Encarregado de Proteção de Dados (DPO)</w:t>
      </w:r>
    </w:p>
    <w:p>
      <w:pPr>
        <w:spacing w:after="80" w:before="80"/>
        <w:jc w:val="both"/>
      </w:pPr>
      <w:r>
        <w:rPr>
          <w:rFonts w:ascii="Arial" w:cs="Arial" w:eastAsia="Arial" w:hAnsi="Arial"/>
          <w:color w:val="090A0B"/>
          <w:sz w:val="20"/>
          <w:szCs w:val="20"/>
        </w:rPr>
        <w:t xml:space="preserve">A Pragma designa como responsável pelo tema de proteção de dados:</w:t>
      </w:r>
    </w:p>
    <w:p>
      <w:pPr>
        <w:pStyle w:val="ListParagraph"/>
        <w:numPr>
          <w:ilvl w:val="0"/>
          <w:numId w:val="1"/>
        </w:numPr>
        <w:spacing w:after="60" w:before="60"/>
        <w:jc w:val="both"/>
      </w:pPr>
      <w:r>
        <w:rPr>
          <w:rFonts w:ascii="Arial" w:cs="Arial" w:eastAsia="Arial" w:hAnsi="Arial"/>
          <w:color w:val="090A0B"/>
          <w:sz w:val="20"/>
          <w:szCs w:val="20"/>
        </w:rPr>
        <w:t xml:space="preserve">Nome: Leandro Zacchi</w:t>
      </w:r>
    </w:p>
    <w:p>
      <w:pPr>
        <w:pStyle w:val="ListParagraph"/>
        <w:numPr>
          <w:ilvl w:val="0"/>
          <w:numId w:val="1"/>
        </w:numPr>
        <w:spacing w:after="60" w:before="60"/>
        <w:jc w:val="both"/>
      </w:pPr>
      <w:r>
        <w:rPr>
          <w:rFonts w:ascii="Arial" w:cs="Arial" w:eastAsia="Arial" w:hAnsi="Arial"/>
          <w:color w:val="090A0B"/>
          <w:sz w:val="20"/>
          <w:szCs w:val="20"/>
        </w:rPr>
        <w:t xml:space="preserve">E-mail: leandro.zacchi@pragmabr.co</w:t>
      </w:r>
    </w:p>
    <w:p>
      <w:pPr>
        <w:spacing w:after="80" w:before="80"/>
        <w:jc w:val="both"/>
      </w:pPr>
      <w:r>
        <w:rPr>
          <w:rFonts w:ascii="Arial" w:cs="Arial" w:eastAsia="Arial" w:hAnsi="Arial"/>
          <w:color w:val="090A0B"/>
          <w:sz w:val="20"/>
          <w:szCs w:val="20"/>
        </w:rPr>
        <w:t xml:space="preserve">Solicitações relacionadas à proteção de dados, exercício de direitos dos titulares e comunicações com a ANPD devem ser encaminhadas ao canal acima.</w:t>
      </w:r>
    </w:p>
    <w:p>
      <w:pPr>
        <w:pBdr>
          <w:bottom w:val="single" w:color="E2E8F0" w:sz="4" w:space="4"/>
        </w:pBdr>
        <w:spacing w:after="200" w:before="200"/>
      </w:pPr>
    </w:p>
    <w:p>
      <w:pPr>
        <w:pBdr>
          <w:bottom w:val="single" w:color="C70F48" w:sz="6" w:space="4"/>
        </w:pBdr>
        <w:spacing w:after="120" w:before="360"/>
      </w:pPr>
      <w:r>
        <w:rPr>
          <w:rFonts w:ascii="Arial" w:cs="Arial" w:eastAsia="Arial" w:hAnsi="Arial"/>
          <w:b/>
          <w:bCs/>
          <w:color w:val="C70F48"/>
          <w:sz w:val="24"/>
          <w:szCs w:val="24"/>
        </w:rPr>
        <w:t xml:space="preserve">12. Alterações desta Política</w:t>
      </w:r>
    </w:p>
    <w:p>
      <w:pPr>
        <w:spacing w:after="80" w:before="80"/>
        <w:jc w:val="both"/>
      </w:pPr>
      <w:r>
        <w:rPr>
          <w:rFonts w:ascii="Arial" w:cs="Arial" w:eastAsia="Arial" w:hAnsi="Arial"/>
          <w:color w:val="090A0B"/>
          <w:sz w:val="20"/>
          <w:szCs w:val="20"/>
        </w:rPr>
        <w:t xml:space="preserve">Esta Política poderá ser atualizada periodicamente para refletir mudanças na Plataforma, na legislação ou nas práticas de tratamento de dados. O Cliente será notificado por e-mail ou por aviso na Plataforma com antecedência mínima de 15 (quinze) dias antes da entrada em vigor das alterações.</w:t>
      </w:r>
    </w:p>
    <w:p>
      <w:pPr>
        <w:spacing w:after="80" w:before="80"/>
        <w:jc w:val="both"/>
      </w:pPr>
      <w:r>
        <w:rPr>
          <w:rFonts w:ascii="Arial" w:cs="Arial" w:eastAsia="Arial" w:hAnsi="Arial"/>
          <w:color w:val="090A0B"/>
          <w:sz w:val="20"/>
          <w:szCs w:val="20"/>
        </w:rPr>
        <w:t xml:space="preserve">A versão vigente estará sempre disponível na Plataforma e/ou mediante solicitação ao canal de contato indicado na seção 11.</w:t>
      </w:r>
    </w:p>
    <w:p>
      <w:pPr>
        <w:pBdr>
          <w:bottom w:val="single" w:color="E2E8F0" w:sz="4" w:space="4"/>
        </w:pBdr>
        <w:spacing w:after="200" w:before="200"/>
      </w:pPr>
    </w:p>
    <w:p>
      <w:pPr>
        <w:pBdr>
          <w:bottom w:val="single" w:color="C70F48" w:sz="6" w:space="4"/>
        </w:pBdr>
        <w:spacing w:after="120" w:before="360"/>
      </w:pPr>
      <w:r>
        <w:rPr>
          <w:rFonts w:ascii="Arial" w:cs="Arial" w:eastAsia="Arial" w:hAnsi="Arial"/>
          <w:b/>
          <w:bCs/>
          <w:color w:val="C70F48"/>
          <w:sz w:val="24"/>
          <w:szCs w:val="24"/>
        </w:rPr>
        <w:t xml:space="preserve">13. Legislação Aplicável</w:t>
      </w:r>
    </w:p>
    <w:p>
      <w:pPr>
        <w:spacing w:after="80" w:before="80"/>
        <w:jc w:val="both"/>
      </w:pPr>
      <w:r>
        <w:rPr>
          <w:rFonts w:ascii="Arial" w:cs="Arial" w:eastAsia="Arial" w:hAnsi="Arial"/>
          <w:color w:val="090A0B"/>
          <w:sz w:val="20"/>
          <w:szCs w:val="20"/>
        </w:rPr>
        <w:t xml:space="preserve">Esta Política é regida pela Lei Geral de Proteção de Dados (Lei 13.709/2018), pelo Marco Civil da Internet (Lei 12.965/2014) e demais normas brasileiras aplicáveis. Para operações que envolvam titulares localizados na União Europeia, aplica-se também o GDPR.</w:t>
      </w:r>
    </w:p>
    <w:p>
      <w:pPr>
        <w:pBdr>
          <w:bottom w:val="single" w:color="E2E8F0" w:sz="4" w:space="4"/>
        </w:pBdr>
        <w:spacing w:after="200" w:before="200"/>
      </w:pPr>
    </w:p>
    <w:p>
      <w:pPr>
        <w:spacing w:after="80" w:before="80"/>
      </w:pPr>
      <w:r>
        <w:rPr>
          <w:rFonts w:ascii="Arial" w:cs="Arial" w:eastAsia="Arial" w:hAnsi="Arial"/>
          <w:i/>
          <w:iCs/>
          <w:color w:val="64748B"/>
          <w:sz w:val="18"/>
          <w:szCs w:val="18"/>
        </w:rPr>
        <w:t xml:space="preserve">Versão 1.0 — 31/07/2026 — Este documento tem caráter estratégico e informativo. Recomenda-se revisão por advogado especializado antes da publicação oficial.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40" w:hanging="260"/>
      </w:pPr>
      <w:rPr>
        <w:rFonts w:ascii="Arial" w:cs="Arial" w:eastAsia="Arial" w:hAnsi="Arial"/>
        <w:sz w:val="20"/>
        <w:szCs w:val="20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090A0B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2026-07-31T17:06:13.499Z</dcterms:created>
  <dcterms:modified xsi:type="dcterms:W3CDTF">2026-07-31T17:06:13.499Z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